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B02" w:rsidRPr="00B14A66" w:rsidRDefault="00B14A66">
      <w:pPr>
        <w:rPr>
          <w:rFonts w:asciiTheme="majorHAnsi" w:hAnsiTheme="majorHAnsi"/>
          <w:sz w:val="40"/>
        </w:rPr>
      </w:pPr>
      <w:r w:rsidRPr="00B14A66">
        <w:rPr>
          <w:rFonts w:asciiTheme="majorHAnsi" w:hAnsiTheme="majorHAnsi"/>
          <w:sz w:val="40"/>
        </w:rPr>
        <w:t>Pekin Community High School Instrumental Music</w:t>
      </w:r>
    </w:p>
    <w:p w:rsidR="00B14A66" w:rsidRDefault="00B44E8A">
      <w:pPr>
        <w:rPr>
          <w:sz w:val="52"/>
        </w:rPr>
      </w:pPr>
      <w:r>
        <w:rPr>
          <w:sz w:val="52"/>
        </w:rPr>
        <w:t>Trumpet</w:t>
      </w:r>
      <w:r w:rsidR="00B14A66">
        <w:rPr>
          <w:sz w:val="52"/>
        </w:rPr>
        <w:t xml:space="preserve"> Curriculum</w:t>
      </w:r>
    </w:p>
    <w:p w:rsidR="00B14A66" w:rsidRDefault="00B14A66">
      <w:pPr>
        <w:rPr>
          <w:sz w:val="24"/>
        </w:rPr>
      </w:pPr>
      <w:r>
        <w:rPr>
          <w:b/>
          <w:sz w:val="24"/>
        </w:rPr>
        <w:t>Essential Learning Outcomes</w:t>
      </w:r>
      <w:r>
        <w:rPr>
          <w:sz w:val="24"/>
        </w:rPr>
        <w:t xml:space="preserve"> – Goals for every students learning</w:t>
      </w:r>
    </w:p>
    <w:p w:rsidR="00B14A66" w:rsidRDefault="00B14A66" w:rsidP="00B14A66">
      <w:pPr>
        <w:pStyle w:val="ListParagraph"/>
        <w:numPr>
          <w:ilvl w:val="0"/>
          <w:numId w:val="1"/>
        </w:numPr>
        <w:rPr>
          <w:sz w:val="24"/>
        </w:rPr>
      </w:pPr>
      <w:r>
        <w:rPr>
          <w:sz w:val="24"/>
        </w:rPr>
        <w:t>To accurately perform music from notation and/or by ear.</w:t>
      </w:r>
    </w:p>
    <w:p w:rsidR="00B14A66" w:rsidRDefault="00B14A66" w:rsidP="00B14A66">
      <w:pPr>
        <w:pStyle w:val="ListParagraph"/>
        <w:numPr>
          <w:ilvl w:val="0"/>
          <w:numId w:val="1"/>
        </w:numPr>
        <w:rPr>
          <w:sz w:val="24"/>
        </w:rPr>
      </w:pPr>
      <w:r>
        <w:rPr>
          <w:sz w:val="24"/>
        </w:rPr>
        <w:t>To recognize and identify elements of music from sound and/or notation.</w:t>
      </w:r>
    </w:p>
    <w:p w:rsidR="00B14A66" w:rsidRDefault="00B14A66" w:rsidP="00B14A66">
      <w:pPr>
        <w:pStyle w:val="ListParagraph"/>
        <w:numPr>
          <w:ilvl w:val="0"/>
          <w:numId w:val="1"/>
        </w:numPr>
        <w:rPr>
          <w:sz w:val="24"/>
        </w:rPr>
      </w:pPr>
      <w:r>
        <w:rPr>
          <w:sz w:val="24"/>
        </w:rPr>
        <w:t>To be able to actively listen and critically analyze music.</w:t>
      </w:r>
    </w:p>
    <w:p w:rsidR="00B14A66" w:rsidRDefault="00B14A66" w:rsidP="00B14A66">
      <w:pPr>
        <w:pStyle w:val="ListParagraph"/>
        <w:numPr>
          <w:ilvl w:val="0"/>
          <w:numId w:val="1"/>
        </w:numPr>
        <w:rPr>
          <w:sz w:val="24"/>
        </w:rPr>
      </w:pPr>
      <w:r>
        <w:rPr>
          <w:sz w:val="24"/>
        </w:rPr>
        <w:t>To positively contribute to a musical ensemble.</w:t>
      </w:r>
    </w:p>
    <w:p w:rsidR="00B14A66" w:rsidRDefault="00B14A66" w:rsidP="00B14A66">
      <w:pPr>
        <w:rPr>
          <w:sz w:val="24"/>
        </w:rPr>
      </w:pPr>
    </w:p>
    <w:p w:rsidR="00B14A66" w:rsidRDefault="00B14A66" w:rsidP="00B14A66">
      <w:pPr>
        <w:rPr>
          <w:b/>
          <w:sz w:val="24"/>
        </w:rPr>
      </w:pPr>
      <w:r>
        <w:rPr>
          <w:b/>
          <w:sz w:val="24"/>
        </w:rPr>
        <w:t>Grade Level Expectations (GLE)</w:t>
      </w:r>
    </w:p>
    <w:p w:rsidR="005F5A3D" w:rsidRDefault="00B14A66" w:rsidP="00B14A66">
      <w:pPr>
        <w:rPr>
          <w:sz w:val="24"/>
        </w:rPr>
      </w:pPr>
      <w:r>
        <w:rPr>
          <w:sz w:val="24"/>
        </w:rPr>
        <w:t xml:space="preserve">In order to prepare students at a level consistent with learning objectives from throughout the state, certain benchmarks have been outlined that should be attained by the conclusion of the corresponding year.  The </w:t>
      </w:r>
      <w:proofErr w:type="gramStart"/>
      <w:r>
        <w:rPr>
          <w:sz w:val="24"/>
        </w:rPr>
        <w:t>purpose of the GLE’s are</w:t>
      </w:r>
      <w:proofErr w:type="gramEnd"/>
      <w:r>
        <w:rPr>
          <w:sz w:val="24"/>
        </w:rPr>
        <w:t xml:space="preserve"> for students to have meaningful feedback about their progress and for the director to have a tool with which to better assess student growth.  </w:t>
      </w:r>
      <w:r w:rsidR="005F5A3D">
        <w:rPr>
          <w:sz w:val="24"/>
        </w:rPr>
        <w:t xml:space="preserve">If a student wishes to perform in the advanced ensembles at PCHS, they should expect to work ahead on their own time.  Placement in the Symphonic Band and Jazz Ensemble are audition based and student GLE’s will be taken into account when making a decision.  </w:t>
      </w:r>
    </w:p>
    <w:p w:rsidR="005F5A3D" w:rsidRDefault="005F5A3D" w:rsidP="00B14A66">
      <w:pPr>
        <w:rPr>
          <w:sz w:val="24"/>
        </w:rPr>
      </w:pPr>
      <w:r>
        <w:rPr>
          <w:sz w:val="24"/>
        </w:rPr>
        <w:t xml:space="preserve">Every year students must complete a specific number of GLE’s (depending on their instrument).  Students can move as fast as they want through the curriculum, as long as they meet the requirements.  Parents are encouraged to check frequently with student progress throughout the year.  </w:t>
      </w:r>
    </w:p>
    <w:p w:rsidR="005F5A3D" w:rsidRDefault="005F5A3D" w:rsidP="00B14A66">
      <w:pPr>
        <w:rPr>
          <w:b/>
          <w:sz w:val="24"/>
        </w:rPr>
      </w:pPr>
      <w:r>
        <w:rPr>
          <w:b/>
          <w:sz w:val="24"/>
        </w:rPr>
        <w:t>How will my student complete their GLE’s?</w:t>
      </w:r>
    </w:p>
    <w:p w:rsidR="005F5A3D" w:rsidRDefault="00B34639" w:rsidP="00B14A66">
      <w:pPr>
        <w:rPr>
          <w:sz w:val="24"/>
        </w:rPr>
      </w:pPr>
      <w:r>
        <w:rPr>
          <w:sz w:val="24"/>
        </w:rPr>
        <w:t>Students have sectionals during their advisory time 1 day every other week.  These sectionals are mandatory and a part of their band grade.  During this time students will report to the band room and will rehearse as per the directors’ discretion.  Students can ask for a pass to come to the band room on other days and may complete assignments with laptops that are checked out/in daily.  If a student has already recorded their progress at home, they have the option to stay in the band room and practice or get help in another area.  Students can also make recordings before (7:20-7:50) and after school (2:45-3:00).  If students need more time they may schedule additional time with the director in advance.</w:t>
      </w:r>
    </w:p>
    <w:p w:rsidR="00B34639" w:rsidRDefault="00B34639" w:rsidP="00B14A66">
      <w:pPr>
        <w:rPr>
          <w:sz w:val="24"/>
        </w:rPr>
      </w:pPr>
    </w:p>
    <w:p w:rsidR="00B34639" w:rsidRDefault="00B34639" w:rsidP="00B34639">
      <w:pPr>
        <w:rPr>
          <w:sz w:val="36"/>
        </w:rPr>
      </w:pPr>
      <w:r>
        <w:rPr>
          <w:sz w:val="36"/>
        </w:rPr>
        <w:lastRenderedPageBreak/>
        <w:t>GLE’s for Grade 9 – Traditions of Excellence – Book 2</w:t>
      </w:r>
    </w:p>
    <w:p w:rsidR="00E87AA5" w:rsidRPr="00E87AA5" w:rsidRDefault="00FD7B2A" w:rsidP="00E87AA5">
      <w:pPr>
        <w:pStyle w:val="ListParagraph"/>
        <w:numPr>
          <w:ilvl w:val="0"/>
          <w:numId w:val="6"/>
        </w:numPr>
        <w:rPr>
          <w:sz w:val="32"/>
        </w:rPr>
      </w:pPr>
      <w:r>
        <w:rPr>
          <w:sz w:val="32"/>
        </w:rPr>
        <w:t>All 12 major scales at 60 bpm (minimum speed)</w:t>
      </w:r>
    </w:p>
    <w:tbl>
      <w:tblPr>
        <w:tblStyle w:val="TableGrid"/>
        <w:tblpPr w:leftFromText="180" w:rightFromText="180" w:vertAnchor="page" w:horzAnchor="margin" w:tblpY="3766"/>
        <w:tblW w:w="9951" w:type="dxa"/>
        <w:tblLook w:val="04A0" w:firstRow="1" w:lastRow="0" w:firstColumn="1" w:lastColumn="0" w:noHBand="0" w:noVBand="1"/>
      </w:tblPr>
      <w:tblGrid>
        <w:gridCol w:w="2898"/>
        <w:gridCol w:w="2340"/>
        <w:gridCol w:w="4713"/>
      </w:tblGrid>
      <w:tr w:rsidR="00E87AA5" w:rsidTr="00E87AA5">
        <w:trPr>
          <w:trHeight w:val="313"/>
        </w:trPr>
        <w:tc>
          <w:tcPr>
            <w:tcW w:w="2898" w:type="dxa"/>
          </w:tcPr>
          <w:p w:rsidR="00E87AA5" w:rsidRPr="00FD7B2A" w:rsidRDefault="00E87AA5" w:rsidP="00E87AA5">
            <w:pPr>
              <w:jc w:val="center"/>
              <w:rPr>
                <w:b/>
                <w:sz w:val="24"/>
              </w:rPr>
            </w:pPr>
            <w:r w:rsidRPr="00FD7B2A">
              <w:rPr>
                <w:b/>
                <w:sz w:val="24"/>
              </w:rPr>
              <w:t>Exercise number</w:t>
            </w:r>
          </w:p>
        </w:tc>
        <w:tc>
          <w:tcPr>
            <w:tcW w:w="2340" w:type="dxa"/>
          </w:tcPr>
          <w:p w:rsidR="00E87AA5" w:rsidRPr="00FD7B2A" w:rsidRDefault="00E87AA5" w:rsidP="00E87AA5">
            <w:pPr>
              <w:jc w:val="center"/>
              <w:rPr>
                <w:b/>
                <w:sz w:val="24"/>
              </w:rPr>
            </w:pPr>
            <w:r>
              <w:rPr>
                <w:b/>
                <w:sz w:val="24"/>
              </w:rPr>
              <w:t>Page</w:t>
            </w:r>
          </w:p>
        </w:tc>
        <w:tc>
          <w:tcPr>
            <w:tcW w:w="4713" w:type="dxa"/>
          </w:tcPr>
          <w:p w:rsidR="00E87AA5" w:rsidRPr="00FD7B2A" w:rsidRDefault="00E87AA5" w:rsidP="00E87AA5">
            <w:pPr>
              <w:jc w:val="center"/>
              <w:rPr>
                <w:b/>
                <w:sz w:val="24"/>
              </w:rPr>
            </w:pPr>
            <w:r>
              <w:rPr>
                <w:b/>
                <w:sz w:val="24"/>
              </w:rPr>
              <w:t>Skills being tested</w:t>
            </w:r>
          </w:p>
        </w:tc>
      </w:tr>
      <w:tr w:rsidR="00E87AA5" w:rsidTr="00E87AA5">
        <w:trPr>
          <w:trHeight w:val="478"/>
        </w:trPr>
        <w:tc>
          <w:tcPr>
            <w:tcW w:w="2898" w:type="dxa"/>
            <w:vAlign w:val="center"/>
          </w:tcPr>
          <w:p w:rsidR="00E87AA5" w:rsidRPr="00FD7B2A" w:rsidRDefault="00E87AA5" w:rsidP="00E87AA5">
            <w:pPr>
              <w:rPr>
                <w:sz w:val="24"/>
              </w:rPr>
            </w:pPr>
            <w:r w:rsidRPr="00FD7B2A">
              <w:rPr>
                <w:sz w:val="24"/>
              </w:rPr>
              <w:t>M</w:t>
            </w:r>
            <w:r>
              <w:rPr>
                <w:sz w:val="24"/>
              </w:rPr>
              <w:t xml:space="preserve">astering </w:t>
            </w:r>
            <w:r w:rsidRPr="00FD7B2A">
              <w:rPr>
                <w:sz w:val="24"/>
              </w:rPr>
              <w:t>E</w:t>
            </w:r>
            <w:r>
              <w:rPr>
                <w:sz w:val="24"/>
              </w:rPr>
              <w:t xml:space="preserve">xcellence </w:t>
            </w:r>
            <w:r w:rsidRPr="00FD7B2A">
              <w:rPr>
                <w:sz w:val="24"/>
              </w:rPr>
              <w:t xml:space="preserve"> #1</w:t>
            </w:r>
            <w:r>
              <w:rPr>
                <w:sz w:val="24"/>
              </w:rPr>
              <w:t>-4</w:t>
            </w:r>
          </w:p>
        </w:tc>
        <w:tc>
          <w:tcPr>
            <w:tcW w:w="2340" w:type="dxa"/>
            <w:vAlign w:val="center"/>
          </w:tcPr>
          <w:p w:rsidR="00E87AA5" w:rsidRPr="00FD7B2A" w:rsidRDefault="00E87AA5" w:rsidP="00E87AA5">
            <w:pPr>
              <w:jc w:val="center"/>
              <w:rPr>
                <w:sz w:val="24"/>
              </w:rPr>
            </w:pPr>
            <w:r>
              <w:rPr>
                <w:sz w:val="24"/>
              </w:rPr>
              <w:t>40</w:t>
            </w:r>
          </w:p>
        </w:tc>
        <w:tc>
          <w:tcPr>
            <w:tcW w:w="4713" w:type="dxa"/>
            <w:vAlign w:val="center"/>
          </w:tcPr>
          <w:p w:rsidR="00E87AA5" w:rsidRPr="00FD7B2A" w:rsidRDefault="00E87AA5" w:rsidP="00B167E4">
            <w:pPr>
              <w:rPr>
                <w:sz w:val="24"/>
              </w:rPr>
            </w:pPr>
            <w:r>
              <w:rPr>
                <w:sz w:val="24"/>
              </w:rPr>
              <w:t>slurring, accidentals</w:t>
            </w:r>
            <w:r w:rsidR="00B167E4">
              <w:rPr>
                <w:sz w:val="24"/>
              </w:rPr>
              <w:t>, alternate fingerings</w:t>
            </w:r>
          </w:p>
        </w:tc>
      </w:tr>
      <w:tr w:rsidR="00E87AA5" w:rsidTr="00E87AA5">
        <w:trPr>
          <w:trHeight w:val="478"/>
        </w:trPr>
        <w:tc>
          <w:tcPr>
            <w:tcW w:w="2898" w:type="dxa"/>
            <w:vAlign w:val="center"/>
          </w:tcPr>
          <w:p w:rsidR="00E87AA5" w:rsidRPr="00FD7B2A" w:rsidRDefault="00E87AA5" w:rsidP="00E87AA5">
            <w:pPr>
              <w:rPr>
                <w:sz w:val="24"/>
              </w:rPr>
            </w:pPr>
            <w:r>
              <w:rPr>
                <w:sz w:val="24"/>
              </w:rPr>
              <w:t>#18</w:t>
            </w:r>
          </w:p>
        </w:tc>
        <w:tc>
          <w:tcPr>
            <w:tcW w:w="2340" w:type="dxa"/>
            <w:vAlign w:val="center"/>
          </w:tcPr>
          <w:p w:rsidR="00E87AA5" w:rsidRPr="00FD7B2A" w:rsidRDefault="00E87AA5" w:rsidP="00E87AA5">
            <w:pPr>
              <w:jc w:val="center"/>
              <w:rPr>
                <w:sz w:val="24"/>
              </w:rPr>
            </w:pPr>
            <w:r>
              <w:rPr>
                <w:sz w:val="24"/>
              </w:rPr>
              <w:t>4</w:t>
            </w:r>
          </w:p>
        </w:tc>
        <w:tc>
          <w:tcPr>
            <w:tcW w:w="4713" w:type="dxa"/>
            <w:vAlign w:val="center"/>
          </w:tcPr>
          <w:p w:rsidR="00E87AA5" w:rsidRPr="00FD7B2A" w:rsidRDefault="00E87AA5" w:rsidP="00E87AA5">
            <w:pPr>
              <w:rPr>
                <w:sz w:val="24"/>
              </w:rPr>
            </w:pPr>
            <w:r>
              <w:rPr>
                <w:sz w:val="24"/>
              </w:rPr>
              <w:t>Separation of slurring and tonging notes</w:t>
            </w:r>
          </w:p>
        </w:tc>
      </w:tr>
      <w:tr w:rsidR="00E87AA5" w:rsidTr="00E87AA5">
        <w:trPr>
          <w:trHeight w:val="478"/>
        </w:trPr>
        <w:tc>
          <w:tcPr>
            <w:tcW w:w="2898" w:type="dxa"/>
            <w:vAlign w:val="center"/>
          </w:tcPr>
          <w:p w:rsidR="00E87AA5" w:rsidRPr="00FD7B2A" w:rsidRDefault="00E87AA5" w:rsidP="00E87AA5">
            <w:pPr>
              <w:rPr>
                <w:sz w:val="24"/>
              </w:rPr>
            </w:pPr>
            <w:r>
              <w:rPr>
                <w:sz w:val="24"/>
              </w:rPr>
              <w:t>#41</w:t>
            </w:r>
          </w:p>
        </w:tc>
        <w:tc>
          <w:tcPr>
            <w:tcW w:w="2340" w:type="dxa"/>
            <w:vAlign w:val="center"/>
          </w:tcPr>
          <w:p w:rsidR="00E87AA5" w:rsidRPr="00FD7B2A" w:rsidRDefault="00E87AA5" w:rsidP="00E87AA5">
            <w:pPr>
              <w:jc w:val="center"/>
              <w:rPr>
                <w:sz w:val="24"/>
              </w:rPr>
            </w:pPr>
            <w:r>
              <w:rPr>
                <w:sz w:val="24"/>
              </w:rPr>
              <w:t>8</w:t>
            </w:r>
          </w:p>
        </w:tc>
        <w:tc>
          <w:tcPr>
            <w:tcW w:w="4713" w:type="dxa"/>
            <w:vAlign w:val="center"/>
          </w:tcPr>
          <w:p w:rsidR="00E87AA5" w:rsidRPr="00FD7B2A" w:rsidRDefault="00E87AA5" w:rsidP="00E87AA5">
            <w:pPr>
              <w:rPr>
                <w:sz w:val="24"/>
              </w:rPr>
            </w:pPr>
            <w:r>
              <w:rPr>
                <w:sz w:val="24"/>
              </w:rPr>
              <w:t>Separation of slurring, tonging and staccato notes.  Simple syncopation.</w:t>
            </w:r>
          </w:p>
        </w:tc>
      </w:tr>
      <w:tr w:rsidR="00E87AA5" w:rsidTr="00E87AA5">
        <w:trPr>
          <w:trHeight w:val="478"/>
        </w:trPr>
        <w:tc>
          <w:tcPr>
            <w:tcW w:w="2898" w:type="dxa"/>
            <w:vAlign w:val="center"/>
          </w:tcPr>
          <w:p w:rsidR="00E87AA5" w:rsidRPr="00FD7B2A" w:rsidRDefault="00E87AA5" w:rsidP="00B167E4">
            <w:pPr>
              <w:rPr>
                <w:sz w:val="24"/>
              </w:rPr>
            </w:pPr>
            <w:r>
              <w:rPr>
                <w:sz w:val="24"/>
              </w:rPr>
              <w:t>#</w:t>
            </w:r>
            <w:r w:rsidR="00B167E4">
              <w:rPr>
                <w:sz w:val="24"/>
              </w:rPr>
              <w:t>64</w:t>
            </w:r>
          </w:p>
        </w:tc>
        <w:tc>
          <w:tcPr>
            <w:tcW w:w="2340" w:type="dxa"/>
            <w:vAlign w:val="center"/>
          </w:tcPr>
          <w:p w:rsidR="00E87AA5" w:rsidRPr="00FD7B2A" w:rsidRDefault="00B167E4" w:rsidP="00E87AA5">
            <w:pPr>
              <w:jc w:val="center"/>
              <w:rPr>
                <w:sz w:val="24"/>
              </w:rPr>
            </w:pPr>
            <w:r>
              <w:rPr>
                <w:sz w:val="24"/>
              </w:rPr>
              <w:t>14</w:t>
            </w:r>
          </w:p>
        </w:tc>
        <w:tc>
          <w:tcPr>
            <w:tcW w:w="4713" w:type="dxa"/>
            <w:vAlign w:val="center"/>
          </w:tcPr>
          <w:p w:rsidR="00E87AA5" w:rsidRPr="00FD7B2A" w:rsidRDefault="00E87AA5" w:rsidP="00B167E4">
            <w:pPr>
              <w:rPr>
                <w:sz w:val="24"/>
              </w:rPr>
            </w:pPr>
            <w:r>
              <w:rPr>
                <w:sz w:val="24"/>
              </w:rPr>
              <w:t xml:space="preserve">Separation of slurring </w:t>
            </w:r>
            <w:r w:rsidR="00B167E4">
              <w:rPr>
                <w:sz w:val="24"/>
              </w:rPr>
              <w:t>and tonging</w:t>
            </w:r>
          </w:p>
        </w:tc>
      </w:tr>
    </w:tbl>
    <w:p w:rsidR="00D97EA8" w:rsidRDefault="00D97EA8" w:rsidP="00FD7B2A">
      <w:pPr>
        <w:pStyle w:val="ListParagraph"/>
        <w:numPr>
          <w:ilvl w:val="0"/>
          <w:numId w:val="6"/>
        </w:numPr>
        <w:rPr>
          <w:sz w:val="32"/>
        </w:rPr>
      </w:pPr>
      <w:r>
        <w:rPr>
          <w:sz w:val="32"/>
        </w:rPr>
        <w:t xml:space="preserve">There will be 3 additional play tests based on materials from the students’ concert music. </w:t>
      </w:r>
    </w:p>
    <w:p w:rsidR="00D97EA8" w:rsidRPr="00D97EA8" w:rsidRDefault="00D97EA8" w:rsidP="00D97EA8">
      <w:pPr>
        <w:pStyle w:val="ListParagraph"/>
        <w:rPr>
          <w:sz w:val="32"/>
        </w:rPr>
      </w:pPr>
    </w:p>
    <w:p w:rsidR="00D97EA8" w:rsidRDefault="00D97EA8" w:rsidP="00D97EA8">
      <w:pPr>
        <w:rPr>
          <w:sz w:val="36"/>
        </w:rPr>
      </w:pPr>
      <w:r w:rsidRPr="00D97EA8">
        <w:rPr>
          <w:sz w:val="36"/>
        </w:rPr>
        <w:t>GLE’s for Grade 10 – Traditions of Excellence – Book 2</w:t>
      </w:r>
    </w:p>
    <w:p w:rsidR="00D97EA8" w:rsidRDefault="00D97EA8" w:rsidP="00D97EA8">
      <w:pPr>
        <w:pStyle w:val="ListParagraph"/>
        <w:numPr>
          <w:ilvl w:val="0"/>
          <w:numId w:val="7"/>
        </w:numPr>
        <w:rPr>
          <w:sz w:val="32"/>
        </w:rPr>
      </w:pPr>
      <w:r w:rsidRPr="00D97EA8">
        <w:rPr>
          <w:sz w:val="32"/>
        </w:rPr>
        <w:t>All 12 major scales at 80 bpm (minimum speed)</w:t>
      </w:r>
    </w:p>
    <w:p w:rsidR="00E87AA5" w:rsidRDefault="00D320F8" w:rsidP="00D97EA8">
      <w:pPr>
        <w:pStyle w:val="ListParagraph"/>
        <w:numPr>
          <w:ilvl w:val="0"/>
          <w:numId w:val="7"/>
        </w:numPr>
        <w:rPr>
          <w:sz w:val="32"/>
        </w:rPr>
      </w:pPr>
      <w:r>
        <w:rPr>
          <w:sz w:val="32"/>
        </w:rPr>
        <w:t>There will be 3 additional play tests based on materials from the students’ concert music.</w:t>
      </w:r>
    </w:p>
    <w:tbl>
      <w:tblPr>
        <w:tblStyle w:val="TableGrid"/>
        <w:tblW w:w="10011" w:type="dxa"/>
        <w:tblLook w:val="04A0" w:firstRow="1" w:lastRow="0" w:firstColumn="1" w:lastColumn="0" w:noHBand="0" w:noVBand="1"/>
      </w:tblPr>
      <w:tblGrid>
        <w:gridCol w:w="3337"/>
        <w:gridCol w:w="3337"/>
        <w:gridCol w:w="3337"/>
      </w:tblGrid>
      <w:tr w:rsidR="00E87AA5" w:rsidRPr="00E87AA5" w:rsidTr="00E87AA5">
        <w:trPr>
          <w:trHeight w:val="412"/>
        </w:trPr>
        <w:tc>
          <w:tcPr>
            <w:tcW w:w="3337" w:type="dxa"/>
            <w:vAlign w:val="center"/>
          </w:tcPr>
          <w:p w:rsidR="00E87AA5" w:rsidRPr="00E87AA5" w:rsidRDefault="00E87AA5" w:rsidP="00E87AA5">
            <w:pPr>
              <w:jc w:val="center"/>
              <w:rPr>
                <w:b/>
                <w:sz w:val="24"/>
              </w:rPr>
            </w:pPr>
            <w:r>
              <w:rPr>
                <w:b/>
                <w:sz w:val="24"/>
              </w:rPr>
              <w:t>Exercise number</w:t>
            </w:r>
          </w:p>
        </w:tc>
        <w:tc>
          <w:tcPr>
            <w:tcW w:w="3337" w:type="dxa"/>
            <w:vAlign w:val="center"/>
          </w:tcPr>
          <w:p w:rsidR="00E87AA5" w:rsidRPr="00E87AA5" w:rsidRDefault="00E87AA5" w:rsidP="00E87AA5">
            <w:pPr>
              <w:jc w:val="center"/>
              <w:rPr>
                <w:b/>
                <w:sz w:val="24"/>
              </w:rPr>
            </w:pPr>
            <w:r>
              <w:rPr>
                <w:b/>
                <w:sz w:val="24"/>
              </w:rPr>
              <w:t>Page</w:t>
            </w:r>
          </w:p>
        </w:tc>
        <w:tc>
          <w:tcPr>
            <w:tcW w:w="3337" w:type="dxa"/>
            <w:vAlign w:val="center"/>
          </w:tcPr>
          <w:p w:rsidR="00E87AA5" w:rsidRPr="00E87AA5" w:rsidRDefault="00E87AA5" w:rsidP="00E87AA5">
            <w:pPr>
              <w:jc w:val="center"/>
              <w:rPr>
                <w:b/>
                <w:sz w:val="24"/>
              </w:rPr>
            </w:pPr>
            <w:r>
              <w:rPr>
                <w:b/>
                <w:sz w:val="24"/>
              </w:rPr>
              <w:t>Skills being tested</w:t>
            </w:r>
          </w:p>
        </w:tc>
      </w:tr>
      <w:tr w:rsidR="00E87AA5" w:rsidTr="00E87AA5">
        <w:trPr>
          <w:trHeight w:val="412"/>
        </w:trPr>
        <w:tc>
          <w:tcPr>
            <w:tcW w:w="3337" w:type="dxa"/>
            <w:vAlign w:val="center"/>
          </w:tcPr>
          <w:p w:rsidR="00E87AA5" w:rsidRPr="00E87AA5" w:rsidRDefault="00E87AA5" w:rsidP="00E87AA5">
            <w:pPr>
              <w:rPr>
                <w:sz w:val="24"/>
              </w:rPr>
            </w:pPr>
            <w:r>
              <w:rPr>
                <w:sz w:val="24"/>
              </w:rPr>
              <w:t>Mastering Excellence #5-8</w:t>
            </w:r>
          </w:p>
        </w:tc>
        <w:tc>
          <w:tcPr>
            <w:tcW w:w="3337" w:type="dxa"/>
            <w:vAlign w:val="center"/>
          </w:tcPr>
          <w:p w:rsidR="00E87AA5" w:rsidRPr="00E87AA5" w:rsidRDefault="00E87AA5" w:rsidP="00E87AA5">
            <w:pPr>
              <w:jc w:val="center"/>
              <w:rPr>
                <w:sz w:val="24"/>
              </w:rPr>
            </w:pPr>
            <w:r>
              <w:rPr>
                <w:sz w:val="24"/>
              </w:rPr>
              <w:t>41</w:t>
            </w:r>
          </w:p>
        </w:tc>
        <w:tc>
          <w:tcPr>
            <w:tcW w:w="3337" w:type="dxa"/>
            <w:vAlign w:val="center"/>
          </w:tcPr>
          <w:p w:rsidR="00E87AA5" w:rsidRPr="00E87AA5" w:rsidRDefault="00E87AA5" w:rsidP="0077507F">
            <w:pPr>
              <w:rPr>
                <w:sz w:val="24"/>
              </w:rPr>
            </w:pPr>
            <w:r>
              <w:rPr>
                <w:sz w:val="24"/>
              </w:rPr>
              <w:t xml:space="preserve">Tonging, </w:t>
            </w:r>
            <w:r w:rsidR="0077507F">
              <w:rPr>
                <w:sz w:val="24"/>
              </w:rPr>
              <w:t>low and high</w:t>
            </w:r>
            <w:r w:rsidR="008A6E6B">
              <w:rPr>
                <w:sz w:val="24"/>
              </w:rPr>
              <w:t xml:space="preserve"> register notes, leaps</w:t>
            </w:r>
          </w:p>
        </w:tc>
      </w:tr>
      <w:tr w:rsidR="00E87AA5" w:rsidTr="00E87AA5">
        <w:trPr>
          <w:trHeight w:val="434"/>
        </w:trPr>
        <w:tc>
          <w:tcPr>
            <w:tcW w:w="3337" w:type="dxa"/>
            <w:vAlign w:val="center"/>
          </w:tcPr>
          <w:p w:rsidR="00E87AA5" w:rsidRPr="00E87AA5" w:rsidRDefault="00E87AA5" w:rsidP="00E87AA5">
            <w:pPr>
              <w:rPr>
                <w:sz w:val="24"/>
              </w:rPr>
            </w:pPr>
            <w:r>
              <w:rPr>
                <w:sz w:val="24"/>
              </w:rPr>
              <w:t>#82</w:t>
            </w:r>
          </w:p>
        </w:tc>
        <w:tc>
          <w:tcPr>
            <w:tcW w:w="3337" w:type="dxa"/>
            <w:vAlign w:val="center"/>
          </w:tcPr>
          <w:p w:rsidR="00E87AA5" w:rsidRPr="00E87AA5" w:rsidRDefault="00E87AA5" w:rsidP="00E87AA5">
            <w:pPr>
              <w:jc w:val="center"/>
              <w:rPr>
                <w:sz w:val="24"/>
              </w:rPr>
            </w:pPr>
            <w:r>
              <w:rPr>
                <w:sz w:val="24"/>
              </w:rPr>
              <w:t>17</w:t>
            </w:r>
          </w:p>
        </w:tc>
        <w:tc>
          <w:tcPr>
            <w:tcW w:w="3337" w:type="dxa"/>
            <w:vAlign w:val="center"/>
          </w:tcPr>
          <w:p w:rsidR="00E87AA5" w:rsidRPr="00E87AA5" w:rsidRDefault="00E87AA5" w:rsidP="00E87AA5">
            <w:pPr>
              <w:rPr>
                <w:sz w:val="24"/>
              </w:rPr>
            </w:pPr>
            <w:r>
              <w:rPr>
                <w:sz w:val="24"/>
              </w:rPr>
              <w:t>Slurs and scale based melodies.  Play @ 75 bpm (minimum)</w:t>
            </w:r>
          </w:p>
        </w:tc>
      </w:tr>
      <w:tr w:rsidR="00E87AA5" w:rsidTr="00E87AA5">
        <w:trPr>
          <w:trHeight w:val="412"/>
        </w:trPr>
        <w:tc>
          <w:tcPr>
            <w:tcW w:w="3337" w:type="dxa"/>
            <w:vAlign w:val="center"/>
          </w:tcPr>
          <w:p w:rsidR="00E87AA5" w:rsidRPr="00E87AA5" w:rsidRDefault="00E87AA5" w:rsidP="00E87AA5">
            <w:pPr>
              <w:rPr>
                <w:sz w:val="24"/>
              </w:rPr>
            </w:pPr>
            <w:r>
              <w:rPr>
                <w:sz w:val="24"/>
              </w:rPr>
              <w:t>#113</w:t>
            </w:r>
          </w:p>
        </w:tc>
        <w:tc>
          <w:tcPr>
            <w:tcW w:w="3337" w:type="dxa"/>
            <w:vAlign w:val="center"/>
          </w:tcPr>
          <w:p w:rsidR="00E87AA5" w:rsidRPr="00E87AA5" w:rsidRDefault="00E87AA5" w:rsidP="00E87AA5">
            <w:pPr>
              <w:jc w:val="center"/>
              <w:rPr>
                <w:sz w:val="24"/>
              </w:rPr>
            </w:pPr>
            <w:r>
              <w:rPr>
                <w:sz w:val="24"/>
              </w:rPr>
              <w:t>26</w:t>
            </w:r>
          </w:p>
        </w:tc>
        <w:tc>
          <w:tcPr>
            <w:tcW w:w="3337" w:type="dxa"/>
            <w:vAlign w:val="center"/>
          </w:tcPr>
          <w:p w:rsidR="00E87AA5" w:rsidRPr="00E87AA5" w:rsidRDefault="00E87AA5" w:rsidP="00E87AA5">
            <w:pPr>
              <w:rPr>
                <w:sz w:val="24"/>
              </w:rPr>
            </w:pPr>
            <w:r>
              <w:rPr>
                <w:sz w:val="24"/>
              </w:rPr>
              <w:t>Clear pitch and rhythm.  Play @ 80 bpm (minimum)</w:t>
            </w:r>
          </w:p>
        </w:tc>
      </w:tr>
      <w:tr w:rsidR="00E87AA5" w:rsidTr="00E87AA5">
        <w:trPr>
          <w:trHeight w:val="434"/>
        </w:trPr>
        <w:tc>
          <w:tcPr>
            <w:tcW w:w="3337" w:type="dxa"/>
            <w:vAlign w:val="center"/>
          </w:tcPr>
          <w:p w:rsidR="00E87AA5" w:rsidRPr="00E87AA5" w:rsidRDefault="00E87AA5" w:rsidP="00E87AA5">
            <w:pPr>
              <w:rPr>
                <w:sz w:val="24"/>
              </w:rPr>
            </w:pPr>
            <w:r>
              <w:rPr>
                <w:sz w:val="24"/>
              </w:rPr>
              <w:t>#135</w:t>
            </w:r>
          </w:p>
        </w:tc>
        <w:tc>
          <w:tcPr>
            <w:tcW w:w="3337" w:type="dxa"/>
            <w:vAlign w:val="center"/>
          </w:tcPr>
          <w:p w:rsidR="00E87AA5" w:rsidRPr="00E87AA5" w:rsidRDefault="00E87AA5" w:rsidP="00E87AA5">
            <w:pPr>
              <w:jc w:val="center"/>
              <w:rPr>
                <w:sz w:val="24"/>
              </w:rPr>
            </w:pPr>
            <w:r>
              <w:rPr>
                <w:sz w:val="24"/>
              </w:rPr>
              <w:t>30</w:t>
            </w:r>
          </w:p>
        </w:tc>
        <w:tc>
          <w:tcPr>
            <w:tcW w:w="3337" w:type="dxa"/>
            <w:vAlign w:val="center"/>
          </w:tcPr>
          <w:p w:rsidR="00E87AA5" w:rsidRPr="00E87AA5" w:rsidRDefault="00E87AA5" w:rsidP="00E87AA5">
            <w:pPr>
              <w:rPr>
                <w:sz w:val="24"/>
              </w:rPr>
            </w:pPr>
            <w:r>
              <w:rPr>
                <w:sz w:val="24"/>
              </w:rPr>
              <w:t>Separation of tonging and slurs.  Work for clearly separate pitch.</w:t>
            </w:r>
          </w:p>
        </w:tc>
      </w:tr>
    </w:tbl>
    <w:p w:rsidR="00D97EA8" w:rsidRDefault="00D97EA8" w:rsidP="00D97EA8">
      <w:pPr>
        <w:rPr>
          <w:sz w:val="32"/>
        </w:rPr>
      </w:pPr>
    </w:p>
    <w:p w:rsidR="00D320F8" w:rsidRDefault="00D320F8" w:rsidP="00D320F8">
      <w:pPr>
        <w:rPr>
          <w:sz w:val="36"/>
        </w:rPr>
      </w:pPr>
    </w:p>
    <w:p w:rsidR="00933126" w:rsidRDefault="00933126" w:rsidP="00D320F8">
      <w:pPr>
        <w:rPr>
          <w:sz w:val="36"/>
        </w:rPr>
      </w:pPr>
    </w:p>
    <w:p w:rsidR="00D320F8" w:rsidRDefault="00D320F8" w:rsidP="00D320F8">
      <w:pPr>
        <w:rPr>
          <w:sz w:val="36"/>
        </w:rPr>
      </w:pPr>
    </w:p>
    <w:p w:rsidR="00D320F8" w:rsidRDefault="00D320F8" w:rsidP="00D320F8">
      <w:pPr>
        <w:rPr>
          <w:sz w:val="36"/>
        </w:rPr>
      </w:pPr>
      <w:r w:rsidRPr="00D97EA8">
        <w:rPr>
          <w:sz w:val="36"/>
        </w:rPr>
        <w:lastRenderedPageBreak/>
        <w:t>GLE’s for Grade 1</w:t>
      </w:r>
      <w:r>
        <w:rPr>
          <w:sz w:val="36"/>
        </w:rPr>
        <w:t>1</w:t>
      </w:r>
      <w:r w:rsidRPr="00D97EA8">
        <w:rPr>
          <w:sz w:val="36"/>
        </w:rPr>
        <w:t xml:space="preserve"> – Traditions of Excellence – Book </w:t>
      </w:r>
      <w:r>
        <w:rPr>
          <w:sz w:val="36"/>
        </w:rPr>
        <w:t>3</w:t>
      </w:r>
    </w:p>
    <w:p w:rsidR="00D320F8" w:rsidRPr="00C76912" w:rsidRDefault="00D320F8" w:rsidP="00D320F8">
      <w:pPr>
        <w:pStyle w:val="ListParagraph"/>
        <w:numPr>
          <w:ilvl w:val="0"/>
          <w:numId w:val="7"/>
        </w:numPr>
        <w:rPr>
          <w:sz w:val="28"/>
        </w:rPr>
      </w:pPr>
      <w:r w:rsidRPr="00C76912">
        <w:rPr>
          <w:sz w:val="28"/>
        </w:rPr>
        <w:t>All 12 major scales and chromatic scale starting on F at 100 bpm (minimum speed)</w:t>
      </w:r>
    </w:p>
    <w:p w:rsidR="00D320F8" w:rsidRPr="00C76912" w:rsidRDefault="00D320F8" w:rsidP="00D320F8">
      <w:pPr>
        <w:pStyle w:val="ListParagraph"/>
        <w:numPr>
          <w:ilvl w:val="0"/>
          <w:numId w:val="7"/>
        </w:numPr>
        <w:rPr>
          <w:sz w:val="28"/>
        </w:rPr>
      </w:pPr>
      <w:r w:rsidRPr="00C76912">
        <w:rPr>
          <w:sz w:val="28"/>
        </w:rPr>
        <w:t>There will be 3 additional play tests based on materials from the students’ concert music.</w:t>
      </w:r>
    </w:p>
    <w:tbl>
      <w:tblPr>
        <w:tblStyle w:val="TableGrid"/>
        <w:tblW w:w="9711" w:type="dxa"/>
        <w:tblInd w:w="-72" w:type="dxa"/>
        <w:tblLook w:val="04A0" w:firstRow="1" w:lastRow="0" w:firstColumn="1" w:lastColumn="0" w:noHBand="0" w:noVBand="1"/>
      </w:tblPr>
      <w:tblGrid>
        <w:gridCol w:w="3285"/>
        <w:gridCol w:w="2205"/>
        <w:gridCol w:w="4221"/>
      </w:tblGrid>
      <w:tr w:rsidR="00D320F8" w:rsidTr="00D320F8">
        <w:trPr>
          <w:trHeight w:val="425"/>
        </w:trPr>
        <w:tc>
          <w:tcPr>
            <w:tcW w:w="3285" w:type="dxa"/>
            <w:vAlign w:val="center"/>
          </w:tcPr>
          <w:p w:rsidR="00D320F8" w:rsidRPr="00D320F8" w:rsidRDefault="00D320F8" w:rsidP="00D320F8">
            <w:pPr>
              <w:pStyle w:val="ListParagraph"/>
              <w:ind w:left="0"/>
              <w:jc w:val="center"/>
              <w:rPr>
                <w:b/>
                <w:sz w:val="24"/>
              </w:rPr>
            </w:pPr>
            <w:r>
              <w:rPr>
                <w:b/>
                <w:sz w:val="24"/>
              </w:rPr>
              <w:t>Exercise number</w:t>
            </w:r>
          </w:p>
        </w:tc>
        <w:tc>
          <w:tcPr>
            <w:tcW w:w="2205" w:type="dxa"/>
            <w:vAlign w:val="center"/>
          </w:tcPr>
          <w:p w:rsidR="00D320F8" w:rsidRPr="00D320F8" w:rsidRDefault="00D320F8" w:rsidP="00D320F8">
            <w:pPr>
              <w:pStyle w:val="ListParagraph"/>
              <w:ind w:left="0"/>
              <w:jc w:val="center"/>
              <w:rPr>
                <w:b/>
                <w:sz w:val="24"/>
              </w:rPr>
            </w:pPr>
            <w:r>
              <w:rPr>
                <w:b/>
                <w:sz w:val="24"/>
              </w:rPr>
              <w:t>Page</w:t>
            </w:r>
          </w:p>
        </w:tc>
        <w:tc>
          <w:tcPr>
            <w:tcW w:w="4221" w:type="dxa"/>
            <w:vAlign w:val="center"/>
          </w:tcPr>
          <w:p w:rsidR="00D320F8" w:rsidRPr="00D320F8" w:rsidRDefault="00D320F8" w:rsidP="00D320F8">
            <w:pPr>
              <w:pStyle w:val="ListParagraph"/>
              <w:ind w:left="0"/>
              <w:jc w:val="center"/>
              <w:rPr>
                <w:b/>
                <w:sz w:val="24"/>
              </w:rPr>
            </w:pPr>
            <w:r>
              <w:rPr>
                <w:b/>
                <w:sz w:val="24"/>
              </w:rPr>
              <w:t>Skills being tested</w:t>
            </w:r>
          </w:p>
        </w:tc>
      </w:tr>
      <w:tr w:rsidR="00D320F8" w:rsidTr="00D320F8">
        <w:trPr>
          <w:trHeight w:val="409"/>
        </w:trPr>
        <w:tc>
          <w:tcPr>
            <w:tcW w:w="3285" w:type="dxa"/>
            <w:vAlign w:val="center"/>
          </w:tcPr>
          <w:p w:rsidR="00D320F8" w:rsidRPr="00D320F8" w:rsidRDefault="00D320F8" w:rsidP="00D320F8">
            <w:pPr>
              <w:pStyle w:val="ListParagraph"/>
              <w:ind w:left="0"/>
              <w:rPr>
                <w:sz w:val="24"/>
              </w:rPr>
            </w:pPr>
            <w:r>
              <w:rPr>
                <w:sz w:val="24"/>
              </w:rPr>
              <w:t>Mastering Excellence #1-4</w:t>
            </w:r>
          </w:p>
        </w:tc>
        <w:tc>
          <w:tcPr>
            <w:tcW w:w="2205" w:type="dxa"/>
            <w:vAlign w:val="center"/>
          </w:tcPr>
          <w:p w:rsidR="00D320F8" w:rsidRPr="00D320F8" w:rsidRDefault="00D320F8" w:rsidP="00D320F8">
            <w:pPr>
              <w:pStyle w:val="ListParagraph"/>
              <w:ind w:left="0"/>
              <w:jc w:val="center"/>
              <w:rPr>
                <w:sz w:val="24"/>
              </w:rPr>
            </w:pPr>
            <w:r>
              <w:rPr>
                <w:sz w:val="24"/>
              </w:rPr>
              <w:t>34</w:t>
            </w:r>
          </w:p>
        </w:tc>
        <w:tc>
          <w:tcPr>
            <w:tcW w:w="4221" w:type="dxa"/>
            <w:vAlign w:val="center"/>
          </w:tcPr>
          <w:p w:rsidR="00D320F8" w:rsidRPr="00D320F8" w:rsidRDefault="00D320F8" w:rsidP="002C50E7">
            <w:pPr>
              <w:pStyle w:val="ListParagraph"/>
              <w:ind w:left="0"/>
              <w:rPr>
                <w:sz w:val="24"/>
              </w:rPr>
            </w:pPr>
            <w:r>
              <w:rPr>
                <w:sz w:val="24"/>
              </w:rPr>
              <w:t>Articulations,</w:t>
            </w:r>
            <w:r w:rsidR="007D351C">
              <w:rPr>
                <w:sz w:val="24"/>
              </w:rPr>
              <w:t xml:space="preserve"> high and</w:t>
            </w:r>
            <w:r>
              <w:rPr>
                <w:sz w:val="24"/>
              </w:rPr>
              <w:t xml:space="preserve"> low register</w:t>
            </w:r>
            <w:r w:rsidR="00933126">
              <w:rPr>
                <w:sz w:val="24"/>
              </w:rPr>
              <w:t>, alternate fingerings</w:t>
            </w:r>
          </w:p>
        </w:tc>
      </w:tr>
      <w:tr w:rsidR="00D320F8" w:rsidTr="00D320F8">
        <w:trPr>
          <w:trHeight w:val="425"/>
        </w:trPr>
        <w:tc>
          <w:tcPr>
            <w:tcW w:w="3285" w:type="dxa"/>
            <w:vAlign w:val="center"/>
          </w:tcPr>
          <w:p w:rsidR="00D320F8" w:rsidRPr="00D320F8" w:rsidRDefault="00D320F8" w:rsidP="00D320F8">
            <w:pPr>
              <w:pStyle w:val="ListParagraph"/>
              <w:ind w:left="0"/>
              <w:rPr>
                <w:sz w:val="24"/>
              </w:rPr>
            </w:pPr>
            <w:r>
              <w:rPr>
                <w:sz w:val="24"/>
              </w:rPr>
              <w:t>#12</w:t>
            </w:r>
          </w:p>
        </w:tc>
        <w:tc>
          <w:tcPr>
            <w:tcW w:w="2205" w:type="dxa"/>
            <w:vAlign w:val="center"/>
          </w:tcPr>
          <w:p w:rsidR="00D320F8" w:rsidRPr="00D320F8" w:rsidRDefault="00D320F8" w:rsidP="00D320F8">
            <w:pPr>
              <w:pStyle w:val="ListParagraph"/>
              <w:ind w:left="0"/>
              <w:jc w:val="center"/>
              <w:rPr>
                <w:sz w:val="24"/>
              </w:rPr>
            </w:pPr>
            <w:r>
              <w:rPr>
                <w:sz w:val="24"/>
              </w:rPr>
              <w:t>4</w:t>
            </w:r>
          </w:p>
        </w:tc>
        <w:tc>
          <w:tcPr>
            <w:tcW w:w="4221" w:type="dxa"/>
            <w:vAlign w:val="center"/>
          </w:tcPr>
          <w:p w:rsidR="00D320F8" w:rsidRPr="00D320F8" w:rsidRDefault="00D320F8" w:rsidP="00D320F8">
            <w:pPr>
              <w:pStyle w:val="ListParagraph"/>
              <w:ind w:left="0"/>
              <w:rPr>
                <w:sz w:val="24"/>
              </w:rPr>
            </w:pPr>
            <w:r>
              <w:rPr>
                <w:sz w:val="24"/>
              </w:rPr>
              <w:t>Separation between staccato and slurs.  Chromatic notes</w:t>
            </w:r>
          </w:p>
        </w:tc>
      </w:tr>
      <w:tr w:rsidR="00D320F8" w:rsidTr="00D320F8">
        <w:trPr>
          <w:trHeight w:val="425"/>
        </w:trPr>
        <w:tc>
          <w:tcPr>
            <w:tcW w:w="3285" w:type="dxa"/>
            <w:vAlign w:val="center"/>
          </w:tcPr>
          <w:p w:rsidR="00D320F8" w:rsidRPr="00D320F8" w:rsidRDefault="00D320F8" w:rsidP="00D320F8">
            <w:pPr>
              <w:pStyle w:val="ListParagraph"/>
              <w:ind w:left="0"/>
              <w:rPr>
                <w:sz w:val="24"/>
              </w:rPr>
            </w:pPr>
            <w:r>
              <w:rPr>
                <w:sz w:val="24"/>
              </w:rPr>
              <w:t>#23</w:t>
            </w:r>
          </w:p>
        </w:tc>
        <w:tc>
          <w:tcPr>
            <w:tcW w:w="2205" w:type="dxa"/>
            <w:vAlign w:val="center"/>
          </w:tcPr>
          <w:p w:rsidR="00D320F8" w:rsidRPr="00D320F8" w:rsidRDefault="00D320F8" w:rsidP="00D320F8">
            <w:pPr>
              <w:pStyle w:val="ListParagraph"/>
              <w:ind w:left="0"/>
              <w:jc w:val="center"/>
              <w:rPr>
                <w:sz w:val="24"/>
              </w:rPr>
            </w:pPr>
            <w:r>
              <w:rPr>
                <w:sz w:val="24"/>
              </w:rPr>
              <w:t>6</w:t>
            </w:r>
          </w:p>
        </w:tc>
        <w:tc>
          <w:tcPr>
            <w:tcW w:w="4221" w:type="dxa"/>
            <w:vAlign w:val="center"/>
          </w:tcPr>
          <w:p w:rsidR="00D320F8" w:rsidRPr="00D320F8" w:rsidRDefault="00D320F8" w:rsidP="00D320F8">
            <w:pPr>
              <w:pStyle w:val="ListParagraph"/>
              <w:ind w:left="0"/>
              <w:rPr>
                <w:sz w:val="24"/>
              </w:rPr>
            </w:pPr>
            <w:r>
              <w:rPr>
                <w:sz w:val="24"/>
              </w:rPr>
              <w:t>Time signature 6/8.  Slurs and tonging.</w:t>
            </w:r>
          </w:p>
        </w:tc>
      </w:tr>
      <w:tr w:rsidR="00D320F8" w:rsidTr="00D320F8">
        <w:trPr>
          <w:trHeight w:val="425"/>
        </w:trPr>
        <w:tc>
          <w:tcPr>
            <w:tcW w:w="3285" w:type="dxa"/>
            <w:vAlign w:val="center"/>
          </w:tcPr>
          <w:p w:rsidR="00D320F8" w:rsidRPr="00D320F8" w:rsidRDefault="00D320F8" w:rsidP="00D320F8">
            <w:pPr>
              <w:pStyle w:val="ListParagraph"/>
              <w:ind w:left="0"/>
              <w:rPr>
                <w:sz w:val="24"/>
              </w:rPr>
            </w:pPr>
            <w:r>
              <w:rPr>
                <w:sz w:val="24"/>
              </w:rPr>
              <w:t>#55</w:t>
            </w:r>
          </w:p>
        </w:tc>
        <w:tc>
          <w:tcPr>
            <w:tcW w:w="2205" w:type="dxa"/>
            <w:vAlign w:val="center"/>
          </w:tcPr>
          <w:p w:rsidR="00D320F8" w:rsidRPr="00D320F8" w:rsidRDefault="00D320F8" w:rsidP="00D320F8">
            <w:pPr>
              <w:pStyle w:val="ListParagraph"/>
              <w:ind w:left="0"/>
              <w:jc w:val="center"/>
              <w:rPr>
                <w:sz w:val="24"/>
              </w:rPr>
            </w:pPr>
            <w:r>
              <w:rPr>
                <w:sz w:val="24"/>
              </w:rPr>
              <w:t>14</w:t>
            </w:r>
          </w:p>
        </w:tc>
        <w:tc>
          <w:tcPr>
            <w:tcW w:w="4221" w:type="dxa"/>
            <w:vAlign w:val="center"/>
          </w:tcPr>
          <w:p w:rsidR="00D320F8" w:rsidRPr="00D320F8" w:rsidRDefault="00D320F8" w:rsidP="00D320F8">
            <w:pPr>
              <w:pStyle w:val="ListParagraph"/>
              <w:ind w:left="0"/>
              <w:rPr>
                <w:sz w:val="24"/>
              </w:rPr>
            </w:pPr>
            <w:r>
              <w:rPr>
                <w:sz w:val="24"/>
              </w:rPr>
              <w:t>Style playing-Ragtime</w:t>
            </w:r>
          </w:p>
        </w:tc>
      </w:tr>
    </w:tbl>
    <w:p w:rsidR="00D320F8" w:rsidRDefault="00D320F8" w:rsidP="00D320F8">
      <w:pPr>
        <w:pStyle w:val="ListParagraph"/>
        <w:rPr>
          <w:sz w:val="32"/>
        </w:rPr>
      </w:pPr>
    </w:p>
    <w:p w:rsidR="00D320F8" w:rsidRDefault="00D320F8" w:rsidP="00D320F8">
      <w:pPr>
        <w:rPr>
          <w:sz w:val="36"/>
        </w:rPr>
      </w:pPr>
      <w:r w:rsidRPr="00D97EA8">
        <w:rPr>
          <w:sz w:val="36"/>
        </w:rPr>
        <w:t>GLE’s for Grade 1</w:t>
      </w:r>
      <w:r>
        <w:rPr>
          <w:sz w:val="36"/>
        </w:rPr>
        <w:t>2</w:t>
      </w:r>
      <w:r w:rsidRPr="00D97EA8">
        <w:rPr>
          <w:sz w:val="36"/>
        </w:rPr>
        <w:t xml:space="preserve"> – Traditions of Excellence – Book </w:t>
      </w:r>
      <w:r>
        <w:rPr>
          <w:sz w:val="36"/>
        </w:rPr>
        <w:t>3</w:t>
      </w:r>
    </w:p>
    <w:p w:rsidR="00D320F8" w:rsidRPr="00C76912" w:rsidRDefault="00D320F8" w:rsidP="00D320F8">
      <w:pPr>
        <w:pStyle w:val="ListParagraph"/>
        <w:numPr>
          <w:ilvl w:val="0"/>
          <w:numId w:val="7"/>
        </w:numPr>
        <w:rPr>
          <w:sz w:val="28"/>
        </w:rPr>
      </w:pPr>
      <w:r w:rsidRPr="00C76912">
        <w:rPr>
          <w:sz w:val="28"/>
        </w:rPr>
        <w:t>All 12 major scales and chromatic scale starting on F at 120 bpm (minimum speed)</w:t>
      </w:r>
    </w:p>
    <w:p w:rsidR="00C76912" w:rsidRPr="00C76912" w:rsidRDefault="00D320F8" w:rsidP="00C76912">
      <w:pPr>
        <w:pStyle w:val="ListParagraph"/>
        <w:numPr>
          <w:ilvl w:val="0"/>
          <w:numId w:val="7"/>
        </w:numPr>
        <w:rPr>
          <w:sz w:val="28"/>
        </w:rPr>
      </w:pPr>
      <w:r w:rsidRPr="00C76912">
        <w:rPr>
          <w:sz w:val="28"/>
        </w:rPr>
        <w:t>There will be 3 additional play tests based on materials from the students’ concert music.</w:t>
      </w:r>
    </w:p>
    <w:tbl>
      <w:tblPr>
        <w:tblStyle w:val="TableGrid"/>
        <w:tblW w:w="9711" w:type="dxa"/>
        <w:tblInd w:w="-72" w:type="dxa"/>
        <w:tblLook w:val="04A0" w:firstRow="1" w:lastRow="0" w:firstColumn="1" w:lastColumn="0" w:noHBand="0" w:noVBand="1"/>
      </w:tblPr>
      <w:tblGrid>
        <w:gridCol w:w="3285"/>
        <w:gridCol w:w="2205"/>
        <w:gridCol w:w="4221"/>
      </w:tblGrid>
      <w:tr w:rsidR="00D320F8" w:rsidTr="000D0985">
        <w:trPr>
          <w:trHeight w:val="425"/>
        </w:trPr>
        <w:tc>
          <w:tcPr>
            <w:tcW w:w="3285" w:type="dxa"/>
            <w:vAlign w:val="center"/>
          </w:tcPr>
          <w:p w:rsidR="00D320F8" w:rsidRPr="00D320F8" w:rsidRDefault="00D320F8" w:rsidP="000D0985">
            <w:pPr>
              <w:pStyle w:val="ListParagraph"/>
              <w:ind w:left="0"/>
              <w:jc w:val="center"/>
              <w:rPr>
                <w:b/>
                <w:sz w:val="24"/>
              </w:rPr>
            </w:pPr>
            <w:r>
              <w:rPr>
                <w:b/>
                <w:sz w:val="24"/>
              </w:rPr>
              <w:t>Exercise number</w:t>
            </w:r>
          </w:p>
        </w:tc>
        <w:tc>
          <w:tcPr>
            <w:tcW w:w="2205" w:type="dxa"/>
            <w:vAlign w:val="center"/>
          </w:tcPr>
          <w:p w:rsidR="00D320F8" w:rsidRPr="00D320F8" w:rsidRDefault="00D320F8" w:rsidP="000D0985">
            <w:pPr>
              <w:pStyle w:val="ListParagraph"/>
              <w:ind w:left="0"/>
              <w:jc w:val="center"/>
              <w:rPr>
                <w:b/>
                <w:sz w:val="24"/>
              </w:rPr>
            </w:pPr>
            <w:r>
              <w:rPr>
                <w:b/>
                <w:sz w:val="24"/>
              </w:rPr>
              <w:t>Page</w:t>
            </w:r>
          </w:p>
        </w:tc>
        <w:tc>
          <w:tcPr>
            <w:tcW w:w="4221" w:type="dxa"/>
            <w:vAlign w:val="center"/>
          </w:tcPr>
          <w:p w:rsidR="00D320F8" w:rsidRPr="00D320F8" w:rsidRDefault="00D320F8" w:rsidP="000D0985">
            <w:pPr>
              <w:pStyle w:val="ListParagraph"/>
              <w:ind w:left="0"/>
              <w:jc w:val="center"/>
              <w:rPr>
                <w:b/>
                <w:sz w:val="24"/>
              </w:rPr>
            </w:pPr>
            <w:r>
              <w:rPr>
                <w:b/>
                <w:sz w:val="24"/>
              </w:rPr>
              <w:t>Skills being tested</w:t>
            </w:r>
          </w:p>
        </w:tc>
      </w:tr>
      <w:tr w:rsidR="00D320F8" w:rsidTr="000D0985">
        <w:trPr>
          <w:trHeight w:val="409"/>
        </w:trPr>
        <w:tc>
          <w:tcPr>
            <w:tcW w:w="3285" w:type="dxa"/>
            <w:vAlign w:val="center"/>
          </w:tcPr>
          <w:p w:rsidR="00D320F8" w:rsidRPr="00D320F8" w:rsidRDefault="00D320F8" w:rsidP="00D320F8">
            <w:pPr>
              <w:pStyle w:val="ListParagraph"/>
              <w:ind w:left="0"/>
              <w:rPr>
                <w:sz w:val="24"/>
              </w:rPr>
            </w:pPr>
            <w:r>
              <w:rPr>
                <w:sz w:val="24"/>
              </w:rPr>
              <w:t>Mastering Excellence #5-8</w:t>
            </w:r>
          </w:p>
        </w:tc>
        <w:tc>
          <w:tcPr>
            <w:tcW w:w="2205" w:type="dxa"/>
            <w:vAlign w:val="center"/>
          </w:tcPr>
          <w:p w:rsidR="00D320F8" w:rsidRPr="00D320F8" w:rsidRDefault="00D320F8" w:rsidP="00D320F8">
            <w:pPr>
              <w:pStyle w:val="ListParagraph"/>
              <w:ind w:left="0"/>
              <w:jc w:val="center"/>
              <w:rPr>
                <w:sz w:val="24"/>
              </w:rPr>
            </w:pPr>
            <w:r>
              <w:rPr>
                <w:sz w:val="24"/>
              </w:rPr>
              <w:t>35</w:t>
            </w:r>
          </w:p>
        </w:tc>
        <w:tc>
          <w:tcPr>
            <w:tcW w:w="4221" w:type="dxa"/>
            <w:vAlign w:val="center"/>
          </w:tcPr>
          <w:p w:rsidR="00D320F8" w:rsidRPr="00D320F8" w:rsidRDefault="00C76912" w:rsidP="00933126">
            <w:pPr>
              <w:pStyle w:val="ListParagraph"/>
              <w:ind w:left="0"/>
              <w:rPr>
                <w:sz w:val="24"/>
              </w:rPr>
            </w:pPr>
            <w:r>
              <w:rPr>
                <w:sz w:val="24"/>
              </w:rPr>
              <w:t xml:space="preserve">Embouchure control, </w:t>
            </w:r>
            <w:r w:rsidR="00933126">
              <w:rPr>
                <w:sz w:val="24"/>
              </w:rPr>
              <w:t>leaps</w:t>
            </w:r>
            <w:r>
              <w:rPr>
                <w:sz w:val="24"/>
              </w:rPr>
              <w:t>,</w:t>
            </w:r>
            <w:r w:rsidR="008A6E6B">
              <w:rPr>
                <w:sz w:val="24"/>
              </w:rPr>
              <w:t xml:space="preserve"> high register, </w:t>
            </w:r>
            <w:r>
              <w:rPr>
                <w:sz w:val="24"/>
              </w:rPr>
              <w:t xml:space="preserve"> grace notes</w:t>
            </w:r>
            <w:r w:rsidR="00F93E36">
              <w:rPr>
                <w:sz w:val="24"/>
              </w:rPr>
              <w:t>, tonging</w:t>
            </w:r>
            <w:bookmarkStart w:id="0" w:name="_GoBack"/>
            <w:bookmarkEnd w:id="0"/>
            <w:r w:rsidR="00F93E36">
              <w:rPr>
                <w:sz w:val="24"/>
              </w:rPr>
              <w:t xml:space="preserve"> x2 &amp; x3</w:t>
            </w:r>
          </w:p>
        </w:tc>
      </w:tr>
      <w:tr w:rsidR="00D320F8" w:rsidTr="000D0985">
        <w:trPr>
          <w:trHeight w:val="425"/>
        </w:trPr>
        <w:tc>
          <w:tcPr>
            <w:tcW w:w="3285" w:type="dxa"/>
            <w:vAlign w:val="center"/>
          </w:tcPr>
          <w:p w:rsidR="00D320F8" w:rsidRPr="00D320F8" w:rsidRDefault="00C76912" w:rsidP="000D0985">
            <w:pPr>
              <w:pStyle w:val="ListParagraph"/>
              <w:ind w:left="0"/>
              <w:rPr>
                <w:sz w:val="24"/>
              </w:rPr>
            </w:pPr>
            <w:r>
              <w:rPr>
                <w:sz w:val="24"/>
              </w:rPr>
              <w:t>#74</w:t>
            </w:r>
          </w:p>
        </w:tc>
        <w:tc>
          <w:tcPr>
            <w:tcW w:w="2205" w:type="dxa"/>
            <w:vAlign w:val="center"/>
          </w:tcPr>
          <w:p w:rsidR="00D320F8" w:rsidRPr="00D320F8" w:rsidRDefault="00C76912" w:rsidP="000D0985">
            <w:pPr>
              <w:pStyle w:val="ListParagraph"/>
              <w:ind w:left="0"/>
              <w:jc w:val="center"/>
              <w:rPr>
                <w:sz w:val="24"/>
              </w:rPr>
            </w:pPr>
            <w:r>
              <w:rPr>
                <w:sz w:val="24"/>
              </w:rPr>
              <w:t>18</w:t>
            </w:r>
          </w:p>
        </w:tc>
        <w:tc>
          <w:tcPr>
            <w:tcW w:w="4221" w:type="dxa"/>
            <w:vAlign w:val="center"/>
          </w:tcPr>
          <w:p w:rsidR="00D320F8" w:rsidRPr="00D320F8" w:rsidRDefault="00C76912" w:rsidP="000D0985">
            <w:pPr>
              <w:pStyle w:val="ListParagraph"/>
              <w:ind w:left="0"/>
              <w:rPr>
                <w:sz w:val="24"/>
              </w:rPr>
            </w:pPr>
            <w:r>
              <w:rPr>
                <w:sz w:val="24"/>
              </w:rPr>
              <w:t>Slurs and tonging in 6/8</w:t>
            </w:r>
          </w:p>
        </w:tc>
      </w:tr>
      <w:tr w:rsidR="00D320F8" w:rsidTr="000D0985">
        <w:trPr>
          <w:trHeight w:val="425"/>
        </w:trPr>
        <w:tc>
          <w:tcPr>
            <w:tcW w:w="3285" w:type="dxa"/>
            <w:vAlign w:val="center"/>
          </w:tcPr>
          <w:p w:rsidR="00D320F8" w:rsidRPr="00D320F8" w:rsidRDefault="00D320F8" w:rsidP="00C76912">
            <w:pPr>
              <w:pStyle w:val="ListParagraph"/>
              <w:ind w:left="0"/>
              <w:rPr>
                <w:sz w:val="24"/>
              </w:rPr>
            </w:pPr>
            <w:r>
              <w:rPr>
                <w:sz w:val="24"/>
              </w:rPr>
              <w:t>#</w:t>
            </w:r>
            <w:r w:rsidR="00C76912">
              <w:rPr>
                <w:sz w:val="24"/>
              </w:rPr>
              <w:t>86</w:t>
            </w:r>
          </w:p>
        </w:tc>
        <w:tc>
          <w:tcPr>
            <w:tcW w:w="2205" w:type="dxa"/>
            <w:vAlign w:val="center"/>
          </w:tcPr>
          <w:p w:rsidR="00D320F8" w:rsidRPr="00D320F8" w:rsidRDefault="00C76912" w:rsidP="000D0985">
            <w:pPr>
              <w:pStyle w:val="ListParagraph"/>
              <w:ind w:left="0"/>
              <w:jc w:val="center"/>
              <w:rPr>
                <w:sz w:val="24"/>
              </w:rPr>
            </w:pPr>
            <w:r>
              <w:rPr>
                <w:sz w:val="24"/>
              </w:rPr>
              <w:t>22</w:t>
            </w:r>
          </w:p>
        </w:tc>
        <w:tc>
          <w:tcPr>
            <w:tcW w:w="4221" w:type="dxa"/>
            <w:vAlign w:val="center"/>
          </w:tcPr>
          <w:p w:rsidR="00D320F8" w:rsidRPr="00D320F8" w:rsidRDefault="00C76912" w:rsidP="000D0985">
            <w:pPr>
              <w:pStyle w:val="ListParagraph"/>
              <w:ind w:left="0"/>
              <w:rPr>
                <w:sz w:val="24"/>
              </w:rPr>
            </w:pPr>
            <w:r>
              <w:rPr>
                <w:sz w:val="24"/>
              </w:rPr>
              <w:t>Slurs and tonguing at Allegro with clear pitch.</w:t>
            </w:r>
          </w:p>
        </w:tc>
      </w:tr>
      <w:tr w:rsidR="00D320F8" w:rsidTr="000D0985">
        <w:trPr>
          <w:trHeight w:val="425"/>
        </w:trPr>
        <w:tc>
          <w:tcPr>
            <w:tcW w:w="3285" w:type="dxa"/>
            <w:vAlign w:val="center"/>
          </w:tcPr>
          <w:p w:rsidR="00D320F8" w:rsidRPr="00D320F8" w:rsidRDefault="00C76912" w:rsidP="000D0985">
            <w:pPr>
              <w:pStyle w:val="ListParagraph"/>
              <w:ind w:left="0"/>
              <w:rPr>
                <w:sz w:val="24"/>
              </w:rPr>
            </w:pPr>
            <w:r>
              <w:rPr>
                <w:sz w:val="24"/>
              </w:rPr>
              <w:t>#117</w:t>
            </w:r>
          </w:p>
        </w:tc>
        <w:tc>
          <w:tcPr>
            <w:tcW w:w="2205" w:type="dxa"/>
            <w:vAlign w:val="center"/>
          </w:tcPr>
          <w:p w:rsidR="00D320F8" w:rsidRPr="00D320F8" w:rsidRDefault="00C76912" w:rsidP="000D0985">
            <w:pPr>
              <w:pStyle w:val="ListParagraph"/>
              <w:ind w:left="0"/>
              <w:jc w:val="center"/>
              <w:rPr>
                <w:sz w:val="24"/>
              </w:rPr>
            </w:pPr>
            <w:r>
              <w:rPr>
                <w:sz w:val="24"/>
              </w:rPr>
              <w:t>28</w:t>
            </w:r>
          </w:p>
        </w:tc>
        <w:tc>
          <w:tcPr>
            <w:tcW w:w="4221" w:type="dxa"/>
            <w:vAlign w:val="center"/>
          </w:tcPr>
          <w:p w:rsidR="00D320F8" w:rsidRPr="00D320F8" w:rsidRDefault="00C76912" w:rsidP="000D0985">
            <w:pPr>
              <w:pStyle w:val="ListParagraph"/>
              <w:ind w:left="0"/>
              <w:rPr>
                <w:sz w:val="24"/>
              </w:rPr>
            </w:pPr>
            <w:r>
              <w:rPr>
                <w:sz w:val="24"/>
              </w:rPr>
              <w:t>Meter changes with slurs and tonging.</w:t>
            </w:r>
          </w:p>
        </w:tc>
      </w:tr>
    </w:tbl>
    <w:p w:rsidR="00D320F8" w:rsidRDefault="00D320F8" w:rsidP="00D97EA8">
      <w:pPr>
        <w:rPr>
          <w:sz w:val="32"/>
        </w:rPr>
      </w:pPr>
    </w:p>
    <w:p w:rsidR="00C76912" w:rsidRPr="001030CE" w:rsidRDefault="001030CE" w:rsidP="00D97EA8">
      <w:pPr>
        <w:rPr>
          <w:b/>
          <w:sz w:val="40"/>
          <w:u w:val="single"/>
        </w:rPr>
      </w:pPr>
      <w:r w:rsidRPr="001030CE">
        <w:rPr>
          <w:b/>
          <w:sz w:val="40"/>
          <w:u w:val="single"/>
        </w:rPr>
        <w:t>Advanced</w:t>
      </w:r>
      <w:r w:rsidR="00C76912" w:rsidRPr="001030CE">
        <w:rPr>
          <w:b/>
          <w:sz w:val="40"/>
          <w:u w:val="single"/>
        </w:rPr>
        <w:t xml:space="preserve"> opportunities:</w:t>
      </w:r>
    </w:p>
    <w:p w:rsidR="00C76912" w:rsidRDefault="00C76912" w:rsidP="00D97EA8">
      <w:pPr>
        <w:rPr>
          <w:sz w:val="24"/>
        </w:rPr>
      </w:pPr>
      <w:r w:rsidRPr="00C76912">
        <w:rPr>
          <w:sz w:val="24"/>
        </w:rPr>
        <w:t xml:space="preserve">Advanced courses of study can be developed for students that have completed all GLE’s for their year.  </w:t>
      </w:r>
      <w:r>
        <w:rPr>
          <w:sz w:val="24"/>
        </w:rPr>
        <w:t xml:space="preserve">Students are encouraged to </w:t>
      </w:r>
      <w:r w:rsidR="004E6A0C">
        <w:rPr>
          <w:sz w:val="24"/>
        </w:rPr>
        <w:t xml:space="preserve">learn, participate and </w:t>
      </w:r>
      <w:r>
        <w:rPr>
          <w:sz w:val="24"/>
        </w:rPr>
        <w:t xml:space="preserve">play the ILMEA </w:t>
      </w:r>
      <w:r w:rsidR="004E6A0C">
        <w:rPr>
          <w:sz w:val="24"/>
        </w:rPr>
        <w:t>auditions for band and jazz, solo repertoire, masterclass solo/ensemble pieces, etc.  Please see your director to develop advanced playing opportunities!</w:t>
      </w:r>
    </w:p>
    <w:p w:rsidR="00AE72FD" w:rsidRDefault="00AE72FD" w:rsidP="00D97EA8">
      <w:pPr>
        <w:rPr>
          <w:sz w:val="24"/>
        </w:rPr>
      </w:pPr>
      <w:r>
        <w:rPr>
          <w:noProof/>
        </w:rPr>
        <w:lastRenderedPageBreak/>
        <w:drawing>
          <wp:anchor distT="0" distB="0" distL="114300" distR="114300" simplePos="0" relativeHeight="251659264" behindDoc="0" locked="0" layoutInCell="1" allowOverlap="1" wp14:anchorId="50FB3D45" wp14:editId="516A5EA0">
            <wp:simplePos x="0" y="0"/>
            <wp:positionH relativeFrom="column">
              <wp:posOffset>-1000125</wp:posOffset>
            </wp:positionH>
            <wp:positionV relativeFrom="paragraph">
              <wp:posOffset>-975360</wp:posOffset>
            </wp:positionV>
            <wp:extent cx="7762875" cy="10048875"/>
            <wp:effectExtent l="0" t="0" r="9525" b="9525"/>
            <wp:wrapNone/>
            <wp:docPr id="2" name="Picture 2" descr="http://www.libertyunion.org/userfiles/923/file/scales_tre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bertyunion.org/userfiles/923/file/scales_trebl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62875" cy="1004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2FD" w:rsidRPr="00C76912" w:rsidRDefault="00AE72FD" w:rsidP="00D97EA8">
      <w:pPr>
        <w:rPr>
          <w:sz w:val="24"/>
        </w:rPr>
      </w:pPr>
    </w:p>
    <w:sectPr w:rsidR="00AE72FD" w:rsidRPr="00C76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448FD"/>
    <w:multiLevelType w:val="hybridMultilevel"/>
    <w:tmpl w:val="B162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20930"/>
    <w:multiLevelType w:val="hybridMultilevel"/>
    <w:tmpl w:val="4BBA6F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7D2658"/>
    <w:multiLevelType w:val="hybridMultilevel"/>
    <w:tmpl w:val="873E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FC73C9"/>
    <w:multiLevelType w:val="hybridMultilevel"/>
    <w:tmpl w:val="6F104B88"/>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0D15B2"/>
    <w:multiLevelType w:val="hybridMultilevel"/>
    <w:tmpl w:val="29A8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B83804"/>
    <w:multiLevelType w:val="hybridMultilevel"/>
    <w:tmpl w:val="829E6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826827"/>
    <w:multiLevelType w:val="hybridMultilevel"/>
    <w:tmpl w:val="F7CCC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A66"/>
    <w:rsid w:val="00005852"/>
    <w:rsid w:val="000229E1"/>
    <w:rsid w:val="001030CE"/>
    <w:rsid w:val="00281814"/>
    <w:rsid w:val="002B42EF"/>
    <w:rsid w:val="002C50E7"/>
    <w:rsid w:val="002D4B59"/>
    <w:rsid w:val="003C1809"/>
    <w:rsid w:val="004E6A0C"/>
    <w:rsid w:val="00592130"/>
    <w:rsid w:val="005F5A3D"/>
    <w:rsid w:val="00612F0A"/>
    <w:rsid w:val="0077507F"/>
    <w:rsid w:val="007D351C"/>
    <w:rsid w:val="008A6E6B"/>
    <w:rsid w:val="00933126"/>
    <w:rsid w:val="00936B9C"/>
    <w:rsid w:val="00961638"/>
    <w:rsid w:val="00AE72FD"/>
    <w:rsid w:val="00B14A66"/>
    <w:rsid w:val="00B167E4"/>
    <w:rsid w:val="00B34639"/>
    <w:rsid w:val="00B44E8A"/>
    <w:rsid w:val="00BB0237"/>
    <w:rsid w:val="00C76912"/>
    <w:rsid w:val="00D0725E"/>
    <w:rsid w:val="00D320F8"/>
    <w:rsid w:val="00D97EA8"/>
    <w:rsid w:val="00E87AA5"/>
    <w:rsid w:val="00F93E36"/>
    <w:rsid w:val="00FD7B2A"/>
    <w:rsid w:val="00FF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A66"/>
    <w:pPr>
      <w:ind w:left="720"/>
      <w:contextualSpacing/>
    </w:pPr>
  </w:style>
  <w:style w:type="table" w:styleId="TableGrid">
    <w:name w:val="Table Grid"/>
    <w:basedOn w:val="TableNormal"/>
    <w:uiPriority w:val="59"/>
    <w:rsid w:val="00FD7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2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A66"/>
    <w:pPr>
      <w:ind w:left="720"/>
      <w:contextualSpacing/>
    </w:pPr>
  </w:style>
  <w:style w:type="table" w:styleId="TableGrid">
    <w:name w:val="Table Grid"/>
    <w:basedOn w:val="TableNormal"/>
    <w:uiPriority w:val="59"/>
    <w:rsid w:val="00FD7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2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 McCann</dc:creator>
  <cp:lastModifiedBy>Karli McCann</cp:lastModifiedBy>
  <cp:revision>3</cp:revision>
  <dcterms:created xsi:type="dcterms:W3CDTF">2015-06-23T21:08:00Z</dcterms:created>
  <dcterms:modified xsi:type="dcterms:W3CDTF">2015-08-10T15:42:00Z</dcterms:modified>
</cp:coreProperties>
</file>